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288"/>
        <w:jc w:val="center"/>
      </w:pPr>
      <w:r>
        <w:rPr>
          <w:rFonts w:ascii="Times New Roman" w:cs="Times New Roman" w:eastAsia="Times New Roman" w:hAnsi="Times New Roman"/>
          <w:b/>
          <w:bCs/>
          <w:sz w:val="28"/>
          <w:szCs w:val="28"/>
        </w:rPr>
        <w:t xml:space="preserve">Условие о казначейском сопровождении — универсальная вставка в договор (допсоглашение)</w:t>
      </w:r>
    </w:p>
    <w:p>
      <w:pPr>
        <w:spacing w:after="320" w:line="276"/>
        <w:jc w:val="both"/>
      </w:pPr>
      <w:r>
        <w:rPr>
          <w:rFonts w:ascii="Times New Roman" w:cs="Times New Roman" w:eastAsia="Times New Roman" w:hAnsi="Times New Roman"/>
          <w:i/>
          <w:iCs/>
          <w:sz w:val="22"/>
          <w:szCs w:val="22"/>
        </w:rPr>
        <w:t xml:space="preserve">Номера пунктов («п. ___») проставляются по структуре конкретного договора. Условие включается в раздел об обязанностях сторон или оформляется отдельным пунктом. В тексте указывается УФК по соответствующему субъекту РФ.</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Подрядчик (Исполнитель, Поставщик) обязан открыть в соответствующем территориальном органе Федерального казначейства (УФК по [субъекту РФ]) лицевой счёт (раздел на лицевом счёте) для осуществления и отражения операций со средствами участника казначейского сопровождения (далее — лицевой счёт)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утверждённым приказом Федерального казначейства от 22.12.2021 № 44н «Об утверждении Порядка открытия лицевых счетов территориальными органами Федерального казначейства участникам казначейского сопровождения», и обеспечить:</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представление в соответствующий территориальный орган Федерального казначейства в целях санкционирования операций со средствами, отражёнными на лицевом счёте: Сведения об операциях с целевыми средствами, сформированные и утверждённые в порядке и по форме, которые предусмотрены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утверждённым приказом Министерства финансов Российской Федерации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 и содержащие в том числе информацию об источниках поступления средств и направлениях расходования средств, соответствующих предмету и условиям Контракта (далее — Сведения); документы, подтверждающие возникновение денежных обязательств, установленные Порядком санкционирования, исходя из предмета Контракта;</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наличие в контрактах (договорах) о поставке товаров, выполнении работ, оказании услуг, заключаемых в рамках исполнения Договора, документах, подтверждающих возникновение денежных обязательств, установленных Порядком санкционирования, а также в распоряжениях о совершении казначейских платежей идентификатора Контракта. Идентификатор формируется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утверждённым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ведение учёта доходов, затрат, произведённых в целях достижения результатов, установленных при предоставлении средств по Контракту (раздельный учёт результатов финансово-хозяйственной деятельности), в соответствии с Порядком ведения учёта доходов, затрат, произведённых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утверждённым приказом Министерства финансов Российской Федерации от 10.12.2021 № 210н «О порядке ведения учёта доходов, затрат, произведённых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соблюдение иных условий и требований, установленных Правилами казначейского сопровождения.</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Подрядчик (Исполнитель, Поставщик) не вправе перечислять средства с лицевого счёта:</w:t>
      </w:r>
    </w:p>
    <w:p>
      <w:pPr>
        <w:spacing w:after="160" w:line="288"/>
        <w:ind w:left="567"/>
        <w:jc w:val="both"/>
      </w:pPr>
      <w:r>
        <w:rPr>
          <w:rFonts w:ascii="Times New Roman" w:cs="Times New Roman" w:eastAsia="Times New Roman" w:hAnsi="Times New Roman"/>
          <w:sz w:val="24"/>
          <w:szCs w:val="24"/>
        </w:rPr>
        <w:t xml:space="preserve">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pPr>
        <w:spacing w:after="160" w:line="288"/>
        <w:ind w:left="567"/>
        <w:jc w:val="both"/>
      </w:pPr>
      <w:r>
        <w:rPr>
          <w:rFonts w:ascii="Times New Roman" w:cs="Times New Roman" w:eastAsia="Times New Roman" w:hAnsi="Times New Roman"/>
          <w:sz w:val="24"/>
          <w:szCs w:val="24"/>
        </w:rPr>
        <w:t xml:space="preserve">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устанавливающими порядок организации и осуществления бюджетного процесса (с последующим возвратом указанных средств на лицевой счёт, включая средства, полученные от их размещения, не позднее 25 декабря текущего финансового года);</w:t>
      </w:r>
    </w:p>
    <w:p>
      <w:pPr>
        <w:spacing w:after="160" w:line="288"/>
        <w:ind w:left="567"/>
        <w:jc w:val="both"/>
      </w:pPr>
      <w:r>
        <w:rPr>
          <w:rFonts w:ascii="Times New Roman" w:cs="Times New Roman" w:eastAsia="Times New Roman" w:hAnsi="Times New Roman"/>
          <w:sz w:val="24"/>
          <w:szCs w:val="24"/>
        </w:rPr>
        <w:t xml:space="preserve">на свои счета, открытые в банке, за исключением: оплаты обязательств в соответствии с валютным законодательством Российской Федерации; оплаты обязательств по оплате труда с учётом начислений и социальных выплат, иных выплат в пользу работников, а также выплат лицам, не состоящим в штате, привлечённым для достижения цели, определённой при предоставлении средств, подлежащих казначейскому сопровождению; оплаты фактически поставленных товаров, выполненных работ, оказанных услуг, источником финансового обеспечения которых являются средства, подлежащие казначейскому сопровождению, в случае, если Подрядчик (Исполнитель, Поставщик) не привлекает для поставки товаров, выполнения работ, оказания услуг иных лиц, а также при условии представления в соответствии с Порядком санкционирования документов, подтверждающих факт поставки товаров, выполнения работ, оказания услуг, и (или) иных документов, предусмотренных Контрактом; возмещения произведённых Подрядчиком (Исполнителем, Поставщиком) расходов (части расходов) при условии представления в соответствии с Порядком санкционирования документов, подтверждающих факт поставки товаров, выполнения работ, оказания услуг, копий распоряжений о совершении казначейских платежей и иных документов, подтверждающих оплату произведённых Подрядчиком (Исполнителем, Поставщиком) расходов (части расходов); оплаты обязательств по накладным расходам, связанным с исполнением Контракта, в соответствии с Порядком санкционирования;</w:t>
      </w:r>
    </w:p>
    <w:p>
      <w:pPr>
        <w:spacing w:after="160" w:line="288"/>
        <w:ind w:left="567"/>
        <w:jc w:val="both"/>
      </w:pPr>
      <w:r>
        <w:rPr>
          <w:rFonts w:ascii="Times New Roman" w:cs="Times New Roman" w:eastAsia="Times New Roman" w:hAnsi="Times New Roman"/>
          <w:sz w:val="24"/>
          <w:szCs w:val="24"/>
        </w:rPr>
        <w:t xml:space="preserve">на счета, открытые в банке юридическим лицам, заключившим с Подрядчиком (Исполнителем, Поставщиком) договоры, за исключением договоров, заключаемых в целях приобретения услуг связи по приёму,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приёму платежей от физических лиц, осуществляемых платёжными агентами.</w:t>
      </w:r>
    </w:p>
    <w:p>
      <w:pPr>
        <w:spacing w:after="160" w:line="288"/>
        <w:jc w:val="both"/>
      </w:pPr>
      <w:r>
        <w:rPr>
          <w:rFonts w:ascii="Times New Roman" w:cs="Times New Roman" w:eastAsia="Times New Roman" w:hAnsi="Times New Roman"/>
          <w:b/>
          <w:bCs/>
          <w:sz w:val="24"/>
          <w:szCs w:val="24"/>
        </w:rPr>
        <w:t xml:space="preserve">п. ___ </w:t>
      </w:r>
      <w:r>
        <w:rPr>
          <w:rFonts w:ascii="Times New Roman" w:cs="Times New Roman" w:eastAsia="Times New Roman" w:hAnsi="Times New Roman"/>
          <w:sz w:val="24"/>
          <w:szCs w:val="24"/>
        </w:rPr>
        <w:t xml:space="preserve">Операции по зачислению средств на лицевой счёт и списанию средств с лицевого счёта осуществляются при указании в договорах о поставке товаров, выполнении работ, оказании услуг, заключаемых Подрядчиком (Исполнителем, Поставщиком) в рамках исполнения Договора, в документах, подтверждающих возникновение денежных обязательств, а также в распоряжениях о совершении казначейских платежей идентификатора Контракта.</w:t>
      </w:r>
    </w:p>
    <w:sectPr>
      <w:pgSz w:w="11906" w:h="16838" w:orient="portrait"/>
      <w:pgMar w:top="1134"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2026-05-22T09:49:28.495Z</dcterms:created>
  <dcterms:modified xsi:type="dcterms:W3CDTF">2026-05-22T09:49:28.496Z</dcterms:modified>
</cp:coreProperties>
</file>

<file path=docProps/custom.xml><?xml version="1.0" encoding="utf-8"?>
<Properties xmlns="http://schemas.openxmlformats.org/officeDocument/2006/custom-properties" xmlns:vt="http://schemas.openxmlformats.org/officeDocument/2006/docPropsVTypes"/>
</file>